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E79B8" w14:textId="77777777" w:rsidR="00214AB5" w:rsidRPr="004A43E9" w:rsidRDefault="00214AB5" w:rsidP="00214AB5">
      <w:pPr>
        <w:jc w:val="center"/>
        <w:rPr>
          <w:rFonts w:ascii="Calibri" w:hAnsi="Calibri" w:cs="Calibri"/>
          <w:b/>
          <w:color w:val="FFFFFF"/>
          <w:sz w:val="22"/>
          <w:szCs w:val="22"/>
        </w:rPr>
      </w:pPr>
      <w:r>
        <w:rPr>
          <w:noProof/>
        </w:rPr>
        <w:drawing>
          <wp:anchor distT="0" distB="0" distL="114300" distR="114300" simplePos="0" relativeHeight="251660288" behindDoc="0" locked="0" layoutInCell="1" allowOverlap="1" wp14:anchorId="1F721674" wp14:editId="58B5B110">
            <wp:simplePos x="0" y="0"/>
            <wp:positionH relativeFrom="page">
              <wp:posOffset>4984115</wp:posOffset>
            </wp:positionH>
            <wp:positionV relativeFrom="page">
              <wp:posOffset>481330</wp:posOffset>
            </wp:positionV>
            <wp:extent cx="1784350" cy="944245"/>
            <wp:effectExtent l="0" t="0" r="6350" b="8255"/>
            <wp:wrapNone/>
            <wp:docPr id="3" name="Picture 3" descr="Dere-St---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e-St---Logo---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944245"/>
                    </a:xfrm>
                    <a:prstGeom prst="rect">
                      <a:avLst/>
                    </a:prstGeom>
                    <a:noFill/>
                  </pic:spPr>
                </pic:pic>
              </a:graphicData>
            </a:graphic>
            <wp14:sizeRelH relativeFrom="page">
              <wp14:pctWidth>0</wp14:pctWidth>
            </wp14:sizeRelH>
            <wp14:sizeRelV relativeFrom="page">
              <wp14:pctHeight>0</wp14:pctHeight>
            </wp14:sizeRelV>
          </wp:anchor>
        </w:drawing>
      </w:r>
      <w:r w:rsidRPr="004A43E9">
        <w:rPr>
          <w:rFonts w:ascii="Calibri" w:hAnsi="Calibri" w:cs="Calibri"/>
          <w:b/>
          <w:color w:val="FFFFFF"/>
          <w:sz w:val="22"/>
          <w:szCs w:val="22"/>
        </w:rPr>
        <w:t>0</w:t>
      </w:r>
    </w:p>
    <w:p w14:paraId="76606919" w14:textId="77777777" w:rsidR="00214AB5" w:rsidRPr="004A43E9" w:rsidRDefault="00214AB5" w:rsidP="00214AB5">
      <w:pPr>
        <w:jc w:val="center"/>
        <w:rPr>
          <w:rFonts w:ascii="Calibri" w:hAnsi="Calibri" w:cs="Calibri"/>
          <w:b/>
          <w:color w:val="FFFFFF"/>
          <w:sz w:val="22"/>
          <w:szCs w:val="22"/>
        </w:rPr>
      </w:pPr>
      <w:r w:rsidRPr="004A43E9">
        <w:rPr>
          <w:rFonts w:ascii="Calibri" w:hAnsi="Calibri" w:cs="Calibri"/>
          <w:b/>
          <w:color w:val="FFFFFF"/>
          <w:sz w:val="22"/>
          <w:szCs w:val="22"/>
        </w:rPr>
        <w:t>0</w:t>
      </w:r>
    </w:p>
    <w:p w14:paraId="6BACDB97" w14:textId="77777777" w:rsidR="00214AB5" w:rsidRPr="004A43E9" w:rsidRDefault="00214AB5" w:rsidP="00214AB5">
      <w:pPr>
        <w:jc w:val="center"/>
        <w:rPr>
          <w:rFonts w:ascii="Calibri" w:hAnsi="Calibri" w:cs="Calibri"/>
          <w:b/>
          <w:color w:val="FFFFFF"/>
          <w:sz w:val="22"/>
          <w:szCs w:val="22"/>
        </w:rPr>
      </w:pPr>
      <w:r w:rsidRPr="004A43E9">
        <w:rPr>
          <w:rFonts w:ascii="Calibri" w:hAnsi="Calibri" w:cs="Calibri"/>
          <w:b/>
          <w:color w:val="FFFFFF"/>
          <w:sz w:val="22"/>
          <w:szCs w:val="22"/>
        </w:rPr>
        <w:t>0</w:t>
      </w:r>
    </w:p>
    <w:p w14:paraId="4CAF93D2" w14:textId="399D5E40" w:rsidR="00214AB5" w:rsidRPr="004A43E9" w:rsidRDefault="00214AB5" w:rsidP="00214AB5">
      <w:pPr>
        <w:rPr>
          <w:rFonts w:ascii="Calibri" w:hAnsi="Calibri" w:cs="Calibri"/>
          <w:color w:val="FFFFFF"/>
          <w:position w:val="-22"/>
          <w:sz w:val="22"/>
          <w:szCs w:val="22"/>
        </w:rPr>
      </w:pPr>
    </w:p>
    <w:p w14:paraId="06C6AB45" w14:textId="77777777" w:rsidR="00214AB5" w:rsidRPr="004A43E9" w:rsidRDefault="00214AB5" w:rsidP="00214AB5">
      <w:pPr>
        <w:pStyle w:val="11KBWBodyText"/>
        <w:rPr>
          <w:rFonts w:ascii="Calibri" w:hAnsi="Calibri" w:cs="Calibri"/>
          <w:sz w:val="22"/>
          <w:szCs w:val="22"/>
        </w:rPr>
      </w:pPr>
    </w:p>
    <w:p w14:paraId="146723B1" w14:textId="77777777" w:rsidR="006D4B67" w:rsidRDefault="006D4B67" w:rsidP="00153E1E">
      <w:pPr>
        <w:jc w:val="both"/>
      </w:pPr>
      <w:r>
        <w:t xml:space="preserve">We may charge either fixed fees (which means that we will charge you a set amount of money for each piece of work we undertake) or on an hourly rate basis. Below we provide estimates based on the ranges of fixed fees and the hourly rates for barristers at </w:t>
      </w:r>
      <w:proofErr w:type="spellStart"/>
      <w:r>
        <w:t>Dere</w:t>
      </w:r>
      <w:proofErr w:type="spellEnd"/>
      <w:r>
        <w:t xml:space="preserve"> Street.  </w:t>
      </w:r>
    </w:p>
    <w:p w14:paraId="53D0E948" w14:textId="77777777" w:rsidR="006D4B67" w:rsidRDefault="006D4B67" w:rsidP="00153E1E">
      <w:pPr>
        <w:jc w:val="both"/>
      </w:pPr>
      <w:r>
        <w:t xml:space="preserve"> </w:t>
      </w:r>
    </w:p>
    <w:p w14:paraId="109260E7" w14:textId="77777777" w:rsidR="006D4B67" w:rsidRDefault="006D4B67" w:rsidP="00153E1E">
      <w:pPr>
        <w:jc w:val="both"/>
      </w:pPr>
      <w:r>
        <w:t xml:space="preserve">All fees exclude VAT (where applicable). That means that it is likely that you will have to pay us VAT in addition to the fee at the current rate (presently 20%). </w:t>
      </w:r>
    </w:p>
    <w:p w14:paraId="5A9C270D" w14:textId="77777777" w:rsidR="006D4B67" w:rsidRDefault="006D4B67" w:rsidP="00153E1E">
      <w:pPr>
        <w:jc w:val="both"/>
      </w:pPr>
      <w:r>
        <w:t xml:space="preserve"> </w:t>
      </w:r>
    </w:p>
    <w:p w14:paraId="33931336" w14:textId="77777777" w:rsidR="006D4B67" w:rsidRDefault="006D4B67" w:rsidP="00153E1E">
      <w:pPr>
        <w:jc w:val="both"/>
      </w:pPr>
      <w:r>
        <w:t>If we charge fixed fees, these may vary depending on your needs – for example, your fees may be towards the higher end of the range if you need a more experienced barrister and/or you have a more complex case. If you have a particularly complex case, your fees may also be higher than the estimates below. There may also be additional costs for any administrative work involved such as copying or where you agree to engage another person to assist with your case.</w:t>
      </w:r>
    </w:p>
    <w:p w14:paraId="2C54D144" w14:textId="77777777" w:rsidR="006D4B67" w:rsidRDefault="006D4B67" w:rsidP="00153E1E">
      <w:pPr>
        <w:jc w:val="both"/>
      </w:pPr>
      <w:r>
        <w:t xml:space="preserve"> </w:t>
      </w:r>
    </w:p>
    <w:p w14:paraId="4CECDE97" w14:textId="77777777" w:rsidR="006D4B67" w:rsidRDefault="006D4B67" w:rsidP="00153E1E">
      <w:pPr>
        <w:jc w:val="both"/>
      </w:pPr>
      <w:r>
        <w:t>If we quote a fixed fee it will only be to undertake that particular piece of work. There are likely to be many different pieces of work involved in a case such as representation at hearings, advising in conference and in writing and drafting documents. We will always quote separately for each piece of work. Below are some indicative fees;</w:t>
      </w:r>
    </w:p>
    <w:p w14:paraId="36242C3C" w14:textId="77777777" w:rsidR="006D4B67" w:rsidRPr="00377309" w:rsidRDefault="006D4B67" w:rsidP="006D4B67"/>
    <w:p w14:paraId="24C1CA6C" w14:textId="1BDA5582" w:rsidR="006D4B67" w:rsidRDefault="006D4B67" w:rsidP="006D4B67"/>
    <w:tbl>
      <w:tblPr>
        <w:tblStyle w:val="TableGrid"/>
        <w:tblW w:w="0" w:type="auto"/>
        <w:tblLook w:val="04A0" w:firstRow="1" w:lastRow="0" w:firstColumn="1" w:lastColumn="0" w:noHBand="0" w:noVBand="1"/>
      </w:tblPr>
      <w:tblGrid>
        <w:gridCol w:w="4508"/>
        <w:gridCol w:w="4508"/>
      </w:tblGrid>
      <w:tr w:rsidR="006D4B67" w14:paraId="384D11F4" w14:textId="77777777" w:rsidTr="00AD6AE3">
        <w:tc>
          <w:tcPr>
            <w:tcW w:w="4508" w:type="dxa"/>
          </w:tcPr>
          <w:p w14:paraId="183B2C7F" w14:textId="6B09A69B" w:rsidR="006D4B67" w:rsidRPr="006D4B67" w:rsidRDefault="006D4B67" w:rsidP="006D4B67">
            <w:pPr>
              <w:jc w:val="center"/>
              <w:rPr>
                <w:b/>
                <w:bCs/>
              </w:rPr>
            </w:pPr>
            <w:r w:rsidRPr="006D4B67">
              <w:rPr>
                <w:b/>
                <w:bCs/>
              </w:rPr>
              <w:t>Stage of Case</w:t>
            </w:r>
          </w:p>
        </w:tc>
        <w:tc>
          <w:tcPr>
            <w:tcW w:w="4508" w:type="dxa"/>
          </w:tcPr>
          <w:p w14:paraId="3126CB2C" w14:textId="28FAD64E" w:rsidR="006D4B67" w:rsidRPr="006D4B67" w:rsidRDefault="006D4B67" w:rsidP="00AD6AE3">
            <w:pPr>
              <w:rPr>
                <w:b/>
                <w:bCs/>
              </w:rPr>
            </w:pPr>
            <w:r w:rsidRPr="006D4B67">
              <w:rPr>
                <w:b/>
                <w:bCs/>
              </w:rPr>
              <w:t>Range of fixed fees (estimated)</w:t>
            </w:r>
          </w:p>
        </w:tc>
      </w:tr>
      <w:tr w:rsidR="006D4B67" w14:paraId="78FC2CD7" w14:textId="77777777" w:rsidTr="00AD6AE3">
        <w:tc>
          <w:tcPr>
            <w:tcW w:w="4508" w:type="dxa"/>
          </w:tcPr>
          <w:p w14:paraId="397F55CB" w14:textId="77777777" w:rsidR="006D4B67" w:rsidRDefault="006D4B67" w:rsidP="00AD6AE3">
            <w:r>
              <w:t>Preliminary meeting</w:t>
            </w:r>
          </w:p>
        </w:tc>
        <w:tc>
          <w:tcPr>
            <w:tcW w:w="4508" w:type="dxa"/>
          </w:tcPr>
          <w:p w14:paraId="650B2E4D" w14:textId="77777777" w:rsidR="006D4B67" w:rsidRDefault="006D4B67" w:rsidP="00AD6AE3">
            <w:r>
              <w:t>£0 - £500</w:t>
            </w:r>
          </w:p>
        </w:tc>
      </w:tr>
      <w:tr w:rsidR="006D4B67" w14:paraId="736BD03D" w14:textId="77777777" w:rsidTr="00AD6AE3">
        <w:tc>
          <w:tcPr>
            <w:tcW w:w="4508" w:type="dxa"/>
          </w:tcPr>
          <w:p w14:paraId="7D513162" w14:textId="77777777" w:rsidR="006D4B67" w:rsidRDefault="006D4B67" w:rsidP="00AD6AE3">
            <w:r>
              <w:t>Initial conference</w:t>
            </w:r>
          </w:p>
        </w:tc>
        <w:tc>
          <w:tcPr>
            <w:tcW w:w="4508" w:type="dxa"/>
          </w:tcPr>
          <w:p w14:paraId="2EE0716B" w14:textId="77777777" w:rsidR="006D4B67" w:rsidRDefault="006D4B67" w:rsidP="00AD6AE3">
            <w:r>
              <w:t>£500 - £2000</w:t>
            </w:r>
          </w:p>
        </w:tc>
      </w:tr>
      <w:tr w:rsidR="006D4B67" w14:paraId="1C6344BD" w14:textId="77777777" w:rsidTr="00AD6AE3">
        <w:tc>
          <w:tcPr>
            <w:tcW w:w="4508" w:type="dxa"/>
          </w:tcPr>
          <w:p w14:paraId="0A20A11C" w14:textId="77777777" w:rsidR="006D4B67" w:rsidRDefault="006D4B67" w:rsidP="00AD6AE3">
            <w:r>
              <w:t>Written advice on claim</w:t>
            </w:r>
          </w:p>
        </w:tc>
        <w:tc>
          <w:tcPr>
            <w:tcW w:w="4508" w:type="dxa"/>
          </w:tcPr>
          <w:p w14:paraId="20D166D9" w14:textId="77777777" w:rsidR="006D4B67" w:rsidRDefault="006D4B67" w:rsidP="00AD6AE3">
            <w:r>
              <w:t>£500 - £2000</w:t>
            </w:r>
          </w:p>
        </w:tc>
      </w:tr>
      <w:tr w:rsidR="006D4B67" w14:paraId="54E5BEE2" w14:textId="77777777" w:rsidTr="00AD6AE3">
        <w:tc>
          <w:tcPr>
            <w:tcW w:w="4508" w:type="dxa"/>
          </w:tcPr>
          <w:p w14:paraId="2750B917" w14:textId="77777777" w:rsidR="006D4B67" w:rsidRDefault="006D4B67" w:rsidP="00AD6AE3">
            <w:r>
              <w:t>Hourly rate for assistance with drafting any Court documents</w:t>
            </w:r>
          </w:p>
        </w:tc>
        <w:tc>
          <w:tcPr>
            <w:tcW w:w="4508" w:type="dxa"/>
          </w:tcPr>
          <w:p w14:paraId="5ED96432" w14:textId="77777777" w:rsidR="006D4B67" w:rsidRDefault="006D4B67" w:rsidP="00AD6AE3">
            <w:r>
              <w:t>£200 - £500</w:t>
            </w:r>
          </w:p>
        </w:tc>
      </w:tr>
      <w:tr w:rsidR="006D4B67" w14:paraId="7CFC52B7" w14:textId="77777777" w:rsidTr="00AD6AE3">
        <w:tc>
          <w:tcPr>
            <w:tcW w:w="4508" w:type="dxa"/>
          </w:tcPr>
          <w:p w14:paraId="0CD8D373" w14:textId="77777777" w:rsidR="006D4B67" w:rsidRDefault="006D4B67" w:rsidP="00AD6AE3">
            <w:r>
              <w:t>Preliminary / Directions hearings</w:t>
            </w:r>
          </w:p>
        </w:tc>
        <w:tc>
          <w:tcPr>
            <w:tcW w:w="4508" w:type="dxa"/>
          </w:tcPr>
          <w:p w14:paraId="7534931A" w14:textId="77777777" w:rsidR="006D4B67" w:rsidRDefault="006D4B67" w:rsidP="00AD6AE3">
            <w:r>
              <w:t>£750 - £2500</w:t>
            </w:r>
          </w:p>
        </w:tc>
      </w:tr>
      <w:tr w:rsidR="006D4B67" w14:paraId="62F6AB36" w14:textId="77777777" w:rsidTr="00AD6AE3">
        <w:tc>
          <w:tcPr>
            <w:tcW w:w="4508" w:type="dxa"/>
          </w:tcPr>
          <w:p w14:paraId="76FE2380" w14:textId="77777777" w:rsidR="006D4B67" w:rsidRDefault="006D4B67" w:rsidP="00AD6AE3">
            <w:r>
              <w:t>Preparation of case, drafting documents</w:t>
            </w:r>
          </w:p>
        </w:tc>
        <w:tc>
          <w:tcPr>
            <w:tcW w:w="4508" w:type="dxa"/>
          </w:tcPr>
          <w:p w14:paraId="0EA4CA6F" w14:textId="77777777" w:rsidR="006D4B67" w:rsidRDefault="006D4B67" w:rsidP="00AD6AE3">
            <w:r>
              <w:t>£500 - £2000</w:t>
            </w:r>
          </w:p>
        </w:tc>
      </w:tr>
      <w:tr w:rsidR="006D4B67" w14:paraId="74795889" w14:textId="77777777" w:rsidTr="00AD6AE3">
        <w:tc>
          <w:tcPr>
            <w:tcW w:w="4508" w:type="dxa"/>
          </w:tcPr>
          <w:p w14:paraId="2C131ADF" w14:textId="77777777" w:rsidR="006D4B67" w:rsidRDefault="006D4B67" w:rsidP="00AD6AE3">
            <w:proofErr w:type="gramStart"/>
            <w:r>
              <w:t>1 day</w:t>
            </w:r>
            <w:proofErr w:type="gramEnd"/>
            <w:r>
              <w:t xml:space="preserve"> hearing – County Court / Tribunal</w:t>
            </w:r>
          </w:p>
        </w:tc>
        <w:tc>
          <w:tcPr>
            <w:tcW w:w="4508" w:type="dxa"/>
          </w:tcPr>
          <w:p w14:paraId="73FAB832" w14:textId="77777777" w:rsidR="006D4B67" w:rsidRDefault="006D4B67" w:rsidP="00AD6AE3">
            <w:r>
              <w:t>£1500 - £5000</w:t>
            </w:r>
          </w:p>
        </w:tc>
      </w:tr>
    </w:tbl>
    <w:p w14:paraId="6E468211" w14:textId="77777777" w:rsidR="006D4B67" w:rsidRDefault="006D4B67" w:rsidP="006D4B67"/>
    <w:p w14:paraId="21F8C196" w14:textId="77777777" w:rsidR="006D4B67" w:rsidRDefault="006D4B67" w:rsidP="006D4B67">
      <w:r>
        <w:t xml:space="preserve"> </w:t>
      </w:r>
    </w:p>
    <w:p w14:paraId="5F275143" w14:textId="47517B07" w:rsidR="006D4B67" w:rsidRDefault="006D4B67" w:rsidP="006D4B67">
      <w:pPr>
        <w:rPr>
          <w:b/>
          <w:bCs/>
          <w:u w:val="single"/>
        </w:rPr>
      </w:pPr>
      <w:r w:rsidRPr="006D4B67">
        <w:rPr>
          <w:b/>
          <w:bCs/>
          <w:u w:val="single"/>
        </w:rPr>
        <w:t xml:space="preserve">Contact Us </w:t>
      </w:r>
    </w:p>
    <w:p w14:paraId="1BE99ADB" w14:textId="77777777" w:rsidR="006D4B67" w:rsidRPr="006D4B67" w:rsidRDefault="006D4B67" w:rsidP="006D4B67">
      <w:pPr>
        <w:rPr>
          <w:b/>
          <w:bCs/>
          <w:u w:val="single"/>
        </w:rPr>
      </w:pPr>
    </w:p>
    <w:p w14:paraId="03B662D7" w14:textId="77777777" w:rsidR="006D4B67" w:rsidRDefault="006D4B67" w:rsidP="006D4B67">
      <w:r>
        <w:t xml:space="preserve">All information is correct as of November 2020 but fees are estimates only and may change. </w:t>
      </w:r>
    </w:p>
    <w:p w14:paraId="5644DB62" w14:textId="77777777" w:rsidR="006D4B67" w:rsidRDefault="006D4B67" w:rsidP="006D4B67"/>
    <w:p w14:paraId="026552E8" w14:textId="06FA9578" w:rsidR="006D4B67" w:rsidRDefault="006D4B67" w:rsidP="006D4B67">
      <w:r>
        <w:t xml:space="preserve">For a more accurate quotation please contact the clerks on 0344 335 1551 or </w:t>
      </w:r>
      <w:hyperlink r:id="rId7" w:history="1">
        <w:r w:rsidRPr="006E7C67">
          <w:rPr>
            <w:rStyle w:val="Hyperlink"/>
          </w:rPr>
          <w:t>clerks@derestreet.co.uk</w:t>
        </w:r>
      </w:hyperlink>
    </w:p>
    <w:p w14:paraId="7245BF02" w14:textId="5AD71171" w:rsidR="00214AB5" w:rsidRPr="004A43E9" w:rsidRDefault="00214AB5" w:rsidP="00214AB5">
      <w:pPr>
        <w:pStyle w:val="11KBWSalutation"/>
        <w:rPr>
          <w:rFonts w:ascii="Calibri" w:hAnsi="Calibri" w:cs="Calibri"/>
          <w:sz w:val="22"/>
          <w:szCs w:val="22"/>
        </w:rPr>
      </w:pPr>
    </w:p>
    <w:p w14:paraId="78BDABBB" w14:textId="06B7F8F9" w:rsidR="00E75388" w:rsidRDefault="00E75388"/>
    <w:sectPr w:rsidR="00E75388" w:rsidSect="00FF459E">
      <w:headerReference w:type="default" r:id="rId8"/>
      <w:pgSz w:w="11906" w:h="16838"/>
      <w:pgMar w:top="567" w:right="1416" w:bottom="1440" w:left="1418"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63FE8" w14:textId="77777777" w:rsidR="00054031" w:rsidRDefault="00054031">
      <w:r>
        <w:separator/>
      </w:r>
    </w:p>
  </w:endnote>
  <w:endnote w:type="continuationSeparator" w:id="0">
    <w:p w14:paraId="5A200734" w14:textId="77777777" w:rsidR="00054031" w:rsidRDefault="0005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22BDA" w14:textId="77777777" w:rsidR="00054031" w:rsidRDefault="00054031">
      <w:r>
        <w:separator/>
      </w:r>
    </w:p>
  </w:footnote>
  <w:footnote w:type="continuationSeparator" w:id="0">
    <w:p w14:paraId="533E4F8D" w14:textId="77777777" w:rsidR="00054031" w:rsidRDefault="0005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9F8E" w14:textId="77777777" w:rsidR="00213E37" w:rsidRPr="001C01FA" w:rsidRDefault="00214AB5">
    <w:pPr>
      <w:pStyle w:val="Header"/>
      <w:rPr>
        <w:color w:val="FFFFFF"/>
      </w:rPr>
    </w:pPr>
    <w:r w:rsidRPr="001C01FA">
      <w:rPr>
        <w:color w:val="FFFFFF"/>
      </w:rPr>
      <w:t>0</w:t>
    </w:r>
  </w:p>
  <w:p w14:paraId="1D9AADE1" w14:textId="77777777" w:rsidR="00213E37" w:rsidRPr="001C01FA" w:rsidRDefault="00214AB5" w:rsidP="001C01FA">
    <w:pPr>
      <w:pStyle w:val="Header"/>
      <w:tabs>
        <w:tab w:val="clear" w:pos="4153"/>
        <w:tab w:val="clear" w:pos="8306"/>
        <w:tab w:val="left" w:pos="6090"/>
      </w:tabs>
      <w:rPr>
        <w:color w:val="FFFFFF"/>
      </w:rPr>
    </w:pPr>
    <w:r w:rsidRPr="001C01FA">
      <w:rPr>
        <w:color w:val="FFFFFF"/>
      </w:rPr>
      <w:t>0</w:t>
    </w:r>
    <w:r w:rsidRPr="001C01FA">
      <w:rPr>
        <w:color w:val="FFFFFF"/>
      </w:rPr>
      <w:tab/>
    </w:r>
  </w:p>
  <w:p w14:paraId="520D596B" w14:textId="77777777" w:rsidR="001C01FA" w:rsidRDefault="00214AB5" w:rsidP="00A40D5D">
    <w:pPr>
      <w:pStyle w:val="Header"/>
      <w:tabs>
        <w:tab w:val="clear" w:pos="4153"/>
        <w:tab w:val="clear" w:pos="8306"/>
        <w:tab w:val="left" w:pos="6090"/>
      </w:tabs>
      <w:rPr>
        <w:color w:val="FFFFFF"/>
      </w:rPr>
    </w:pPr>
    <w:r>
      <w:rPr>
        <w:color w:val="FFFFFF"/>
      </w:rPr>
      <w:t>0</w:t>
    </w:r>
  </w:p>
  <w:p w14:paraId="652C4A8D" w14:textId="77777777" w:rsidR="002E73A0" w:rsidRPr="001C01FA" w:rsidRDefault="00054031" w:rsidP="00A40D5D">
    <w:pPr>
      <w:pStyle w:val="Header"/>
      <w:tabs>
        <w:tab w:val="clear" w:pos="4153"/>
        <w:tab w:val="clear" w:pos="8306"/>
        <w:tab w:val="left" w:pos="6090"/>
      </w:tabs>
      <w:rPr>
        <w:color w:va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B5"/>
    <w:rsid w:val="00054031"/>
    <w:rsid w:val="00153E1E"/>
    <w:rsid w:val="00214AB5"/>
    <w:rsid w:val="006D4B67"/>
    <w:rsid w:val="00BE7103"/>
    <w:rsid w:val="00E75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A18F"/>
  <w15:chartTrackingRefBased/>
  <w15:docId w15:val="{8FFC24D9-DD61-4A2A-8F1B-2BD4691F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B5"/>
    <w:pPr>
      <w:spacing w:line="240" w:lineRule="auto"/>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4AB5"/>
    <w:pPr>
      <w:tabs>
        <w:tab w:val="center" w:pos="4153"/>
        <w:tab w:val="right" w:pos="8306"/>
      </w:tabs>
    </w:pPr>
  </w:style>
  <w:style w:type="character" w:customStyle="1" w:styleId="HeaderChar">
    <w:name w:val="Header Char"/>
    <w:basedOn w:val="DefaultParagraphFont"/>
    <w:link w:val="Header"/>
    <w:rsid w:val="00214AB5"/>
    <w:rPr>
      <w:rFonts w:ascii="Times New Roman" w:eastAsia="Times New Roman" w:hAnsi="Times New Roman" w:cs="Times New Roman"/>
      <w:sz w:val="24"/>
      <w:szCs w:val="24"/>
      <w:lang w:eastAsia="en-GB"/>
    </w:rPr>
  </w:style>
  <w:style w:type="paragraph" w:customStyle="1" w:styleId="11KBWBodyText">
    <w:name w:val="11KBW Body Text"/>
    <w:rsid w:val="00214AB5"/>
    <w:pPr>
      <w:tabs>
        <w:tab w:val="left" w:pos="567"/>
        <w:tab w:val="left" w:pos="1134"/>
        <w:tab w:val="left" w:pos="1701"/>
        <w:tab w:val="left" w:pos="2268"/>
        <w:tab w:val="left" w:pos="2835"/>
        <w:tab w:val="left" w:pos="3402"/>
        <w:tab w:val="left" w:pos="3969"/>
        <w:tab w:val="left" w:pos="4536"/>
        <w:tab w:val="left" w:pos="5103"/>
        <w:tab w:val="left" w:pos="5670"/>
      </w:tabs>
      <w:suppressAutoHyphens/>
      <w:spacing w:line="260" w:lineRule="exact"/>
      <w:jc w:val="left"/>
    </w:pPr>
    <w:rPr>
      <w:rFonts w:ascii="Arial" w:eastAsia="Times New Roman" w:hAnsi="Arial" w:cs="Times New Roman"/>
      <w:spacing w:val="-4"/>
      <w:kern w:val="16"/>
      <w:sz w:val="19"/>
      <w:szCs w:val="19"/>
    </w:rPr>
  </w:style>
  <w:style w:type="paragraph" w:customStyle="1" w:styleId="11KBWSalutation">
    <w:name w:val="11KBW Salutation"/>
    <w:basedOn w:val="11KBWBodyText"/>
    <w:next w:val="11KBWBodyText"/>
    <w:rsid w:val="00214AB5"/>
    <w:pPr>
      <w:spacing w:after="780"/>
    </w:pPr>
  </w:style>
  <w:style w:type="table" w:styleId="TableGrid">
    <w:name w:val="Table Grid"/>
    <w:basedOn w:val="TableNormal"/>
    <w:uiPriority w:val="39"/>
    <w:rsid w:val="006D4B67"/>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B67"/>
    <w:rPr>
      <w:color w:val="0563C1" w:themeColor="hyperlink"/>
      <w:u w:val="single"/>
    </w:rPr>
  </w:style>
  <w:style w:type="character" w:styleId="UnresolvedMention">
    <w:name w:val="Unresolved Mention"/>
    <w:basedOn w:val="DefaultParagraphFont"/>
    <w:uiPriority w:val="99"/>
    <w:semiHidden/>
    <w:unhideWhenUsed/>
    <w:rsid w:val="006D4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lerks@derestree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Phillip Paxton</cp:lastModifiedBy>
  <cp:revision>2</cp:revision>
  <dcterms:created xsi:type="dcterms:W3CDTF">2020-11-02T16:47:00Z</dcterms:created>
  <dcterms:modified xsi:type="dcterms:W3CDTF">2020-11-02T16:47:00Z</dcterms:modified>
</cp:coreProperties>
</file>