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07A83A" w14:textId="7ACD760F" w:rsidR="00D70574" w:rsidRPr="00D70574" w:rsidRDefault="00D70574">
      <w:pPr>
        <w:pStyle w:val="Pa0"/>
        <w:rPr>
          <w:rStyle w:val="A3"/>
          <w:rFonts w:asciiTheme="minorHAnsi" w:hAnsiTheme="minorHAnsi" w:cs="Calibri Light"/>
          <w:color w:val="00000A"/>
          <w:sz w:val="32"/>
          <w:szCs w:val="32"/>
        </w:rPr>
      </w:pPr>
      <w:proofErr w:type="spellStart"/>
      <w:r w:rsidRPr="00D70574">
        <w:rPr>
          <w:rStyle w:val="A3"/>
          <w:rFonts w:asciiTheme="minorHAnsi" w:hAnsiTheme="minorHAnsi" w:cs="Calibri Light"/>
          <w:color w:val="00000A"/>
          <w:sz w:val="32"/>
          <w:szCs w:val="32"/>
        </w:rPr>
        <w:t>Dere</w:t>
      </w:r>
      <w:proofErr w:type="spellEnd"/>
      <w:r w:rsidRPr="00D70574">
        <w:rPr>
          <w:rStyle w:val="A3"/>
          <w:rFonts w:asciiTheme="minorHAnsi" w:hAnsiTheme="minorHAnsi" w:cs="Calibri Light"/>
          <w:color w:val="00000A"/>
          <w:sz w:val="32"/>
          <w:szCs w:val="32"/>
        </w:rPr>
        <w:t xml:space="preserve"> Street Barristers</w:t>
      </w:r>
    </w:p>
    <w:p w14:paraId="3737181C" w14:textId="77777777" w:rsidR="00D70574" w:rsidRPr="00D70574" w:rsidRDefault="00D70574">
      <w:pPr>
        <w:pStyle w:val="Pa0"/>
        <w:rPr>
          <w:rStyle w:val="A3"/>
          <w:rFonts w:asciiTheme="minorHAnsi" w:hAnsiTheme="minorHAnsi" w:cs="Calibri Light"/>
          <w:color w:val="00000A"/>
          <w:sz w:val="28"/>
          <w:szCs w:val="28"/>
        </w:rPr>
      </w:pPr>
      <w:bookmarkStart w:id="0" w:name="_GoBack"/>
      <w:bookmarkEnd w:id="0"/>
    </w:p>
    <w:p w14:paraId="39C11E5B" w14:textId="0B869DC0" w:rsidR="00245D3D" w:rsidRPr="00D70574" w:rsidRDefault="00D70574">
      <w:pPr>
        <w:pStyle w:val="Pa0"/>
        <w:rPr>
          <w:rFonts w:asciiTheme="minorHAnsi" w:hAnsiTheme="minorHAnsi" w:cs="Calibri Light"/>
          <w:sz w:val="28"/>
          <w:szCs w:val="28"/>
        </w:rPr>
      </w:pPr>
      <w:r w:rsidRPr="00D70574">
        <w:rPr>
          <w:rStyle w:val="A3"/>
          <w:rFonts w:asciiTheme="minorHAnsi" w:hAnsiTheme="minorHAnsi" w:cs="Calibri Light"/>
          <w:color w:val="00000A"/>
          <w:sz w:val="28"/>
          <w:szCs w:val="28"/>
        </w:rPr>
        <w:t>Managing Data Protection Breaches</w:t>
      </w:r>
    </w:p>
    <w:p w14:paraId="40B66A51" w14:textId="77777777" w:rsidR="00245D3D" w:rsidRPr="000636B7" w:rsidRDefault="00245D3D">
      <w:pPr>
        <w:rPr>
          <w:rFonts w:asciiTheme="minorHAnsi" w:hAnsiTheme="minorHAnsi" w:cs="Calibri Light"/>
          <w:sz w:val="26"/>
          <w:szCs w:val="26"/>
        </w:rPr>
      </w:pPr>
    </w:p>
    <w:p w14:paraId="3119766D" w14:textId="7C4E1EB9" w:rsidR="00245D3D"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There are four key steps to the Chambers' data protection breach management plan: </w:t>
      </w:r>
    </w:p>
    <w:p w14:paraId="5BFD8854" w14:textId="77777777" w:rsidR="000636B7" w:rsidRPr="000636B7" w:rsidRDefault="000636B7">
      <w:pPr>
        <w:pStyle w:val="Pa0"/>
        <w:rPr>
          <w:rStyle w:val="A6"/>
          <w:rFonts w:asciiTheme="minorHAnsi" w:hAnsiTheme="minorHAnsi" w:cs="Calibri Light"/>
          <w:color w:val="00000A"/>
          <w:sz w:val="26"/>
          <w:szCs w:val="26"/>
        </w:rPr>
      </w:pPr>
    </w:p>
    <w:p w14:paraId="38E0F4A3" w14:textId="77777777" w:rsidR="00245D3D" w:rsidRPr="000636B7" w:rsidRDefault="00245D3D">
      <w:pPr>
        <w:numPr>
          <w:ilvl w:val="0"/>
          <w:numId w:val="1"/>
        </w:numPr>
        <w:spacing w:after="83"/>
        <w:ind w:left="36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Containment and recovery </w:t>
      </w:r>
    </w:p>
    <w:p w14:paraId="2915DE2B" w14:textId="77777777" w:rsidR="00245D3D" w:rsidRPr="000636B7" w:rsidRDefault="00245D3D">
      <w:pPr>
        <w:numPr>
          <w:ilvl w:val="0"/>
          <w:numId w:val="1"/>
        </w:numPr>
        <w:spacing w:after="83"/>
        <w:ind w:left="36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Assessment and ongoing risk </w:t>
      </w:r>
    </w:p>
    <w:p w14:paraId="46F8E000" w14:textId="77777777" w:rsidR="00245D3D" w:rsidRPr="000636B7" w:rsidRDefault="00245D3D">
      <w:pPr>
        <w:numPr>
          <w:ilvl w:val="0"/>
          <w:numId w:val="1"/>
        </w:numPr>
        <w:spacing w:after="83"/>
        <w:ind w:left="36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Notification of breach </w:t>
      </w:r>
    </w:p>
    <w:p w14:paraId="54B64BAC" w14:textId="77777777" w:rsidR="00245D3D" w:rsidRPr="000636B7" w:rsidRDefault="00245D3D">
      <w:pPr>
        <w:numPr>
          <w:ilvl w:val="0"/>
          <w:numId w:val="1"/>
        </w:numPr>
        <w:ind w:left="360"/>
        <w:rPr>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Evaluation and response </w:t>
      </w:r>
    </w:p>
    <w:p w14:paraId="7081DFFF" w14:textId="77777777" w:rsidR="00245D3D" w:rsidRPr="000636B7" w:rsidRDefault="00245D3D">
      <w:pPr>
        <w:rPr>
          <w:rFonts w:asciiTheme="minorHAnsi" w:hAnsiTheme="minorHAnsi" w:cs="Calibri Light"/>
          <w:color w:val="00000A"/>
          <w:sz w:val="26"/>
          <w:szCs w:val="26"/>
        </w:rPr>
      </w:pPr>
    </w:p>
    <w:p w14:paraId="417B23A9" w14:textId="77777777" w:rsidR="00245D3D" w:rsidRPr="000636B7" w:rsidRDefault="00245D3D">
      <w:pPr>
        <w:pStyle w:val="Pa0"/>
        <w:rPr>
          <w:rStyle w:val="A6"/>
          <w:rFonts w:asciiTheme="minorHAnsi" w:hAnsiTheme="minorHAnsi" w:cs="Calibri Light"/>
          <w:b/>
          <w:bCs/>
          <w:color w:val="00000A"/>
          <w:sz w:val="26"/>
          <w:szCs w:val="26"/>
          <w:shd w:val="clear" w:color="auto" w:fill="C0C0C0"/>
        </w:rPr>
      </w:pPr>
      <w:r w:rsidRPr="000636B7">
        <w:rPr>
          <w:rStyle w:val="A6"/>
          <w:rFonts w:asciiTheme="minorHAnsi" w:hAnsiTheme="minorHAnsi" w:cs="Calibri Light"/>
          <w:b/>
          <w:bCs/>
          <w:color w:val="00000A"/>
          <w:sz w:val="26"/>
          <w:szCs w:val="26"/>
        </w:rPr>
        <w:t xml:space="preserve">1. Containment and recovery </w:t>
      </w:r>
    </w:p>
    <w:p w14:paraId="5F1094C5" w14:textId="77777777" w:rsidR="000636B7" w:rsidRDefault="000636B7">
      <w:pPr>
        <w:pStyle w:val="Pa0"/>
        <w:rPr>
          <w:rStyle w:val="A6"/>
          <w:rFonts w:asciiTheme="minorHAnsi" w:hAnsiTheme="minorHAnsi" w:cs="Calibri Light"/>
          <w:color w:val="00000A"/>
          <w:sz w:val="26"/>
          <w:szCs w:val="26"/>
        </w:rPr>
      </w:pPr>
    </w:p>
    <w:p w14:paraId="2C13E522" w14:textId="313BD2BE" w:rsidR="00245D3D" w:rsidRPr="000636B7" w:rsidRDefault="00395F80">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Head Clerk/Head of Admin</w:t>
      </w:r>
      <w:r w:rsidR="00245D3D" w:rsidRPr="000636B7">
        <w:rPr>
          <w:rStyle w:val="A6"/>
          <w:rFonts w:asciiTheme="minorHAnsi" w:hAnsiTheme="minorHAnsi" w:cs="Calibri Light"/>
          <w:color w:val="00000A"/>
          <w:sz w:val="26"/>
          <w:szCs w:val="26"/>
        </w:rPr>
        <w:t xml:space="preserve"> </w:t>
      </w:r>
      <w:r w:rsidR="00D70574" w:rsidRPr="000636B7">
        <w:rPr>
          <w:rStyle w:val="A6"/>
          <w:rFonts w:asciiTheme="minorHAnsi" w:hAnsiTheme="minorHAnsi" w:cs="Calibri Light"/>
          <w:color w:val="00000A"/>
          <w:sz w:val="26"/>
          <w:szCs w:val="26"/>
        </w:rPr>
        <w:t>and reporting person will;</w:t>
      </w:r>
      <w:r w:rsidR="00245D3D" w:rsidRPr="000636B7">
        <w:rPr>
          <w:rStyle w:val="A6"/>
          <w:rFonts w:asciiTheme="minorHAnsi" w:hAnsiTheme="minorHAnsi" w:cs="Calibri Light"/>
          <w:color w:val="00000A"/>
          <w:sz w:val="26"/>
          <w:szCs w:val="26"/>
        </w:rPr>
        <w:t xml:space="preserve"> </w:t>
      </w:r>
    </w:p>
    <w:p w14:paraId="124A21EB" w14:textId="77777777" w:rsidR="00245D3D" w:rsidRPr="000636B7" w:rsidRDefault="00245D3D">
      <w:pPr>
        <w:numPr>
          <w:ilvl w:val="0"/>
          <w:numId w:val="2"/>
        </w:numPr>
        <w:spacing w:after="83"/>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Take steps to recover any lost data and limit the damage that the breach can cause where possible; </w:t>
      </w:r>
    </w:p>
    <w:p w14:paraId="410402AC" w14:textId="77777777" w:rsidR="00245D3D" w:rsidRPr="000636B7" w:rsidRDefault="00245D3D">
      <w:pPr>
        <w:numPr>
          <w:ilvl w:val="0"/>
          <w:numId w:val="2"/>
        </w:numPr>
        <w:spacing w:after="83"/>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Decide who will lead the investigation into the breach; and </w:t>
      </w:r>
    </w:p>
    <w:p w14:paraId="51E75334" w14:textId="77777777" w:rsidR="00245D3D" w:rsidRPr="000636B7" w:rsidRDefault="00245D3D">
      <w:pPr>
        <w:numPr>
          <w:ilvl w:val="0"/>
          <w:numId w:val="2"/>
        </w:numPr>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Find out who needs to be aware of the breach and tell those persons what they are expected to do (if anything) to assist in the containment and recovery of the breach. </w:t>
      </w:r>
    </w:p>
    <w:p w14:paraId="326FE01C" w14:textId="77777777" w:rsidR="00245D3D" w:rsidRPr="000636B7" w:rsidRDefault="00245D3D">
      <w:pPr>
        <w:rPr>
          <w:rStyle w:val="A6"/>
          <w:rFonts w:asciiTheme="minorHAnsi" w:hAnsiTheme="minorHAnsi" w:cs="Calibri Light"/>
          <w:color w:val="00000A"/>
          <w:sz w:val="26"/>
          <w:szCs w:val="26"/>
        </w:rPr>
      </w:pPr>
    </w:p>
    <w:p w14:paraId="08F5736F" w14:textId="1A2829ED" w:rsidR="00245D3D" w:rsidRDefault="00245D3D">
      <w:pPr>
        <w:pStyle w:val="Pa0"/>
        <w:rPr>
          <w:rStyle w:val="A6"/>
          <w:rFonts w:asciiTheme="minorHAnsi" w:hAnsiTheme="minorHAnsi" w:cs="Calibri Light"/>
          <w:b/>
          <w:color w:val="00000A"/>
          <w:sz w:val="26"/>
          <w:szCs w:val="26"/>
        </w:rPr>
      </w:pPr>
      <w:r w:rsidRPr="000636B7">
        <w:rPr>
          <w:rStyle w:val="A6"/>
          <w:rFonts w:asciiTheme="minorHAnsi" w:hAnsiTheme="minorHAnsi" w:cs="Calibri Light"/>
          <w:b/>
          <w:color w:val="00000A"/>
          <w:sz w:val="26"/>
          <w:szCs w:val="26"/>
        </w:rPr>
        <w:t xml:space="preserve">2. Assess the risks </w:t>
      </w:r>
    </w:p>
    <w:p w14:paraId="11DD3334" w14:textId="77777777" w:rsidR="000636B7" w:rsidRPr="000636B7" w:rsidRDefault="000636B7">
      <w:pPr>
        <w:pStyle w:val="Pa0"/>
        <w:rPr>
          <w:rStyle w:val="A6"/>
          <w:rFonts w:asciiTheme="minorHAnsi" w:hAnsiTheme="minorHAnsi" w:cs="Calibri Light"/>
          <w:b/>
          <w:color w:val="00000A"/>
          <w:sz w:val="26"/>
          <w:szCs w:val="26"/>
        </w:rPr>
      </w:pPr>
    </w:p>
    <w:p w14:paraId="4B5A13F5" w14:textId="760D839B"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The person leading the inves</w:t>
      </w:r>
      <w:r w:rsidR="00D70574" w:rsidRPr="000636B7">
        <w:rPr>
          <w:rStyle w:val="A6"/>
          <w:rFonts w:asciiTheme="minorHAnsi" w:hAnsiTheme="minorHAnsi" w:cs="Calibri Light"/>
          <w:color w:val="00000A"/>
          <w:sz w:val="26"/>
          <w:szCs w:val="26"/>
        </w:rPr>
        <w:t>tigation will</w:t>
      </w:r>
      <w:r w:rsidRPr="000636B7">
        <w:rPr>
          <w:rStyle w:val="A6"/>
          <w:rFonts w:asciiTheme="minorHAnsi" w:hAnsiTheme="minorHAnsi" w:cs="Calibri Light"/>
          <w:color w:val="00000A"/>
          <w:sz w:val="26"/>
          <w:szCs w:val="26"/>
        </w:rPr>
        <w:t xml:space="preserve"> assess the potential adverse consequences of the breach for the individuals concerned (the individuals to whom the personal data in question pertains), the potential severity or scale of the breach and the likelihood of adverse consequences occurring. </w:t>
      </w:r>
    </w:p>
    <w:p w14:paraId="59BC8567" w14:textId="77777777" w:rsidR="00245D3D" w:rsidRPr="000636B7" w:rsidRDefault="00245D3D">
      <w:pPr>
        <w:pStyle w:val="Pa0"/>
        <w:rPr>
          <w:rStyle w:val="A6"/>
          <w:rFonts w:asciiTheme="minorHAnsi" w:hAnsiTheme="minorHAnsi" w:cs="Calibri Light"/>
          <w:color w:val="00000A"/>
          <w:sz w:val="26"/>
          <w:szCs w:val="26"/>
        </w:rPr>
      </w:pPr>
    </w:p>
    <w:p w14:paraId="3056B3BC" w14:textId="77777777" w:rsidR="00245D3D" w:rsidRPr="000636B7" w:rsidRDefault="00245D3D">
      <w:pPr>
        <w:pStyle w:val="Pa0"/>
        <w:rPr>
          <w:rStyle w:val="A6"/>
          <w:rFonts w:asciiTheme="minorHAnsi" w:hAnsiTheme="minorHAnsi" w:cs="Calibri Light"/>
          <w:b/>
          <w:color w:val="00000A"/>
          <w:sz w:val="26"/>
          <w:szCs w:val="26"/>
        </w:rPr>
      </w:pPr>
      <w:r w:rsidRPr="000636B7">
        <w:rPr>
          <w:rStyle w:val="A6"/>
          <w:rFonts w:asciiTheme="minorHAnsi" w:hAnsiTheme="minorHAnsi" w:cs="Calibri Light"/>
          <w:b/>
          <w:color w:val="00000A"/>
          <w:sz w:val="26"/>
          <w:szCs w:val="26"/>
        </w:rPr>
        <w:t xml:space="preserve">3. Notification of breaches </w:t>
      </w:r>
    </w:p>
    <w:p w14:paraId="7483B89C" w14:textId="77777777" w:rsidR="000636B7" w:rsidRDefault="000636B7">
      <w:pPr>
        <w:pStyle w:val="Pa0"/>
        <w:rPr>
          <w:rStyle w:val="A6"/>
          <w:rFonts w:asciiTheme="minorHAnsi" w:hAnsiTheme="minorHAnsi" w:cs="Calibri Light"/>
          <w:color w:val="00000A"/>
          <w:sz w:val="26"/>
          <w:szCs w:val="26"/>
        </w:rPr>
      </w:pPr>
    </w:p>
    <w:p w14:paraId="0939FBAE" w14:textId="43C84173"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The Chambers has a duty to report all data protection breaches that are likely to result in a risk to the rights and freedoms of individuals to the Information Commissioner’s Office (ICO). </w:t>
      </w:r>
    </w:p>
    <w:p w14:paraId="10790786" w14:textId="2BCD84DD"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The</w:t>
      </w:r>
      <w:r w:rsidR="00395F80" w:rsidRPr="000636B7">
        <w:rPr>
          <w:rStyle w:val="A6"/>
          <w:rFonts w:asciiTheme="minorHAnsi" w:hAnsiTheme="minorHAnsi" w:cs="Calibri Light"/>
          <w:color w:val="00000A"/>
          <w:sz w:val="26"/>
          <w:szCs w:val="26"/>
        </w:rPr>
        <w:t xml:space="preserve"> Head Clerk or Head of Administration</w:t>
      </w:r>
      <w:r w:rsidRPr="000636B7">
        <w:rPr>
          <w:rStyle w:val="A6"/>
          <w:rFonts w:asciiTheme="minorHAnsi" w:hAnsiTheme="minorHAnsi" w:cs="Calibri Light"/>
          <w:color w:val="00000A"/>
          <w:sz w:val="26"/>
          <w:szCs w:val="26"/>
        </w:rPr>
        <w:t xml:space="preserve"> is responsible for ensuring that all relevant data protection breaches are reported to the ICO without delay and no later than 72 hours after having become aware of it. </w:t>
      </w:r>
    </w:p>
    <w:p w14:paraId="0E2253D5" w14:textId="63F457E0"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The </w:t>
      </w:r>
      <w:r w:rsidR="00395F80" w:rsidRPr="000636B7">
        <w:rPr>
          <w:rStyle w:val="A6"/>
          <w:rFonts w:asciiTheme="minorHAnsi" w:hAnsiTheme="minorHAnsi" w:cs="Calibri Light"/>
          <w:color w:val="00000A"/>
          <w:sz w:val="26"/>
          <w:szCs w:val="26"/>
        </w:rPr>
        <w:t>Head Clerk/Head of Administration</w:t>
      </w:r>
      <w:r w:rsidRPr="000636B7">
        <w:rPr>
          <w:rStyle w:val="A6"/>
          <w:rFonts w:asciiTheme="minorHAnsi" w:hAnsiTheme="minorHAnsi" w:cs="Calibri Light"/>
          <w:color w:val="00000A"/>
          <w:sz w:val="26"/>
          <w:szCs w:val="26"/>
        </w:rPr>
        <w:t xml:space="preserve"> will report the breach to the ICO in accordance with the reporting methods set by the ICO. </w:t>
      </w:r>
    </w:p>
    <w:p w14:paraId="55F6D60A" w14:textId="4A7EC019"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Where deemed appropriate, the individuals affected by</w:t>
      </w:r>
      <w:r w:rsidR="00D70574" w:rsidRPr="000636B7">
        <w:rPr>
          <w:rStyle w:val="A6"/>
          <w:rFonts w:asciiTheme="minorHAnsi" w:hAnsiTheme="minorHAnsi" w:cs="Calibri Light"/>
          <w:color w:val="00000A"/>
          <w:sz w:val="26"/>
          <w:szCs w:val="26"/>
        </w:rPr>
        <w:t xml:space="preserve"> the data protection breach will</w:t>
      </w:r>
      <w:r w:rsidRPr="000636B7">
        <w:rPr>
          <w:rStyle w:val="A6"/>
          <w:rFonts w:asciiTheme="minorHAnsi" w:hAnsiTheme="minorHAnsi" w:cs="Calibri Light"/>
          <w:color w:val="00000A"/>
          <w:sz w:val="26"/>
          <w:szCs w:val="26"/>
        </w:rPr>
        <w:t xml:space="preserve"> also be informed. The investigating person must provide individuals with specific and clear information about what has happened and what is being done to address the breach. Advice should also be offered on any steps that the affected individuals </w:t>
      </w:r>
      <w:r w:rsidRPr="000636B7">
        <w:rPr>
          <w:rStyle w:val="A6"/>
          <w:rFonts w:asciiTheme="minorHAnsi" w:hAnsiTheme="minorHAnsi" w:cs="Calibri Light"/>
          <w:color w:val="00000A"/>
          <w:sz w:val="26"/>
          <w:szCs w:val="26"/>
        </w:rPr>
        <w:lastRenderedPageBreak/>
        <w:t xml:space="preserve">can take to protect </w:t>
      </w:r>
      <w:r w:rsidR="00D70574" w:rsidRPr="000636B7">
        <w:rPr>
          <w:rStyle w:val="A6"/>
          <w:rFonts w:asciiTheme="minorHAnsi" w:hAnsiTheme="minorHAnsi" w:cs="Calibri Light"/>
          <w:color w:val="00000A"/>
          <w:sz w:val="26"/>
          <w:szCs w:val="26"/>
        </w:rPr>
        <w:t>themselves. The individuals will</w:t>
      </w:r>
      <w:r w:rsidRPr="000636B7">
        <w:rPr>
          <w:rStyle w:val="A6"/>
          <w:rFonts w:asciiTheme="minorHAnsi" w:hAnsiTheme="minorHAnsi" w:cs="Calibri Light"/>
          <w:color w:val="00000A"/>
          <w:sz w:val="26"/>
          <w:szCs w:val="26"/>
        </w:rPr>
        <w:t xml:space="preserve"> be given contact details should they require further information or help. </w:t>
      </w:r>
    </w:p>
    <w:p w14:paraId="797E184B" w14:textId="08B06072" w:rsidR="00245D3D" w:rsidRPr="000636B7" w:rsidRDefault="00D70574">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Considerations will</w:t>
      </w:r>
      <w:r w:rsidR="00245D3D" w:rsidRPr="000636B7">
        <w:rPr>
          <w:rStyle w:val="A6"/>
          <w:rFonts w:asciiTheme="minorHAnsi" w:hAnsiTheme="minorHAnsi" w:cs="Calibri Light"/>
          <w:color w:val="00000A"/>
          <w:sz w:val="26"/>
          <w:szCs w:val="26"/>
        </w:rPr>
        <w:t xml:space="preserve"> also be made as to whether any other third parties should be no</w:t>
      </w:r>
      <w:r w:rsidRPr="000636B7">
        <w:rPr>
          <w:rStyle w:val="A6"/>
          <w:rFonts w:asciiTheme="minorHAnsi" w:hAnsiTheme="minorHAnsi" w:cs="Calibri Light"/>
          <w:color w:val="00000A"/>
          <w:sz w:val="26"/>
          <w:szCs w:val="26"/>
        </w:rPr>
        <w:t xml:space="preserve">tified, including, for example, </w:t>
      </w:r>
      <w:r w:rsidR="00245D3D" w:rsidRPr="000636B7">
        <w:rPr>
          <w:rStyle w:val="A6"/>
          <w:rFonts w:asciiTheme="minorHAnsi" w:hAnsiTheme="minorHAnsi" w:cs="Calibri Light"/>
          <w:color w:val="00000A"/>
          <w:sz w:val="26"/>
          <w:szCs w:val="26"/>
        </w:rPr>
        <w:t xml:space="preserve">the Police, insurers, professional bodies, banks etc. </w:t>
      </w:r>
    </w:p>
    <w:p w14:paraId="7576ED34" w14:textId="77777777" w:rsidR="00245D3D" w:rsidRPr="000636B7" w:rsidRDefault="00245D3D">
      <w:pPr>
        <w:pStyle w:val="Pa0"/>
        <w:rPr>
          <w:rStyle w:val="A6"/>
          <w:rFonts w:asciiTheme="minorHAnsi" w:hAnsiTheme="minorHAnsi" w:cs="Calibri Light"/>
          <w:color w:val="00000A"/>
          <w:sz w:val="26"/>
          <w:szCs w:val="26"/>
        </w:rPr>
      </w:pPr>
    </w:p>
    <w:p w14:paraId="6E76DCBF" w14:textId="43013FC8" w:rsidR="00245D3D" w:rsidRDefault="00245D3D" w:rsidP="000636B7">
      <w:pPr>
        <w:pStyle w:val="Pa0"/>
        <w:numPr>
          <w:ilvl w:val="0"/>
          <w:numId w:val="2"/>
        </w:numPr>
        <w:rPr>
          <w:rStyle w:val="A6"/>
          <w:rFonts w:asciiTheme="minorHAnsi" w:hAnsiTheme="minorHAnsi" w:cs="Calibri Light"/>
          <w:b/>
          <w:color w:val="00000A"/>
          <w:sz w:val="26"/>
          <w:szCs w:val="26"/>
        </w:rPr>
      </w:pPr>
      <w:r w:rsidRPr="000636B7">
        <w:rPr>
          <w:rStyle w:val="A6"/>
          <w:rFonts w:asciiTheme="minorHAnsi" w:hAnsiTheme="minorHAnsi" w:cs="Calibri Light"/>
          <w:b/>
          <w:color w:val="00000A"/>
          <w:sz w:val="26"/>
          <w:szCs w:val="26"/>
        </w:rPr>
        <w:t xml:space="preserve">Evaluation and response </w:t>
      </w:r>
    </w:p>
    <w:p w14:paraId="62466E45" w14:textId="77777777" w:rsidR="000636B7" w:rsidRPr="000636B7" w:rsidRDefault="000636B7" w:rsidP="000636B7">
      <w:pPr>
        <w:pStyle w:val="Pa0"/>
        <w:ind w:left="720"/>
        <w:rPr>
          <w:rStyle w:val="A6"/>
          <w:rFonts w:asciiTheme="minorHAnsi" w:hAnsiTheme="minorHAnsi" w:cs="Calibri Light"/>
          <w:b/>
          <w:color w:val="00000A"/>
          <w:sz w:val="26"/>
          <w:szCs w:val="26"/>
        </w:rPr>
      </w:pPr>
    </w:p>
    <w:p w14:paraId="60FF8B23" w14:textId="77777777"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The final step is to evaluate the Chambers’ response to the data protection breach. </w:t>
      </w:r>
    </w:p>
    <w:p w14:paraId="4689B261" w14:textId="77777777"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It is important to establish whether the breach was caused by an isolated incident or is part of a wider systemic issue so that Chambers can try to prevent the same or a similar breach from occurring in the future. </w:t>
      </w:r>
    </w:p>
    <w:p w14:paraId="2B8D05F6" w14:textId="1C729489" w:rsidR="00245D3D" w:rsidRPr="000636B7" w:rsidRDefault="00D70574">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Any lessons learned will</w:t>
      </w:r>
      <w:r w:rsidR="00245D3D" w:rsidRPr="000636B7">
        <w:rPr>
          <w:rStyle w:val="A6"/>
          <w:rFonts w:asciiTheme="minorHAnsi" w:hAnsiTheme="minorHAnsi" w:cs="Calibri Light"/>
          <w:color w:val="00000A"/>
          <w:sz w:val="26"/>
          <w:szCs w:val="26"/>
        </w:rPr>
        <w:t xml:space="preserve"> be shared across Chambers as appropriate by communicating the details to the relevant members and staff of Chambers. </w:t>
      </w:r>
    </w:p>
    <w:p w14:paraId="5C2A7639" w14:textId="0E874864" w:rsidR="00245D3D" w:rsidRPr="000636B7" w:rsidRDefault="00245D3D">
      <w:pPr>
        <w:pStyle w:val="Pa0"/>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 xml:space="preserve">The </w:t>
      </w:r>
      <w:r w:rsidR="00395F80" w:rsidRPr="000636B7">
        <w:rPr>
          <w:rStyle w:val="A6"/>
          <w:rFonts w:asciiTheme="minorHAnsi" w:hAnsiTheme="minorHAnsi" w:cs="Calibri Light"/>
          <w:color w:val="00000A"/>
          <w:sz w:val="26"/>
          <w:szCs w:val="26"/>
        </w:rPr>
        <w:t>Head Clerk/Head of Administration</w:t>
      </w:r>
      <w:r w:rsidRPr="000636B7">
        <w:rPr>
          <w:rStyle w:val="A6"/>
          <w:rFonts w:asciiTheme="minorHAnsi" w:hAnsiTheme="minorHAnsi" w:cs="Calibri Light"/>
          <w:color w:val="00000A"/>
          <w:sz w:val="26"/>
          <w:szCs w:val="26"/>
        </w:rPr>
        <w:t xml:space="preserve"> will review all any records of data breaches periodically to establish any trends requiring further attention. </w:t>
      </w:r>
    </w:p>
    <w:p w14:paraId="640649F6" w14:textId="77777777" w:rsidR="00245D3D" w:rsidRPr="000636B7" w:rsidRDefault="00245D3D">
      <w:pPr>
        <w:pStyle w:val="Pa0"/>
        <w:rPr>
          <w:rStyle w:val="A6"/>
          <w:rFonts w:asciiTheme="minorHAnsi" w:hAnsiTheme="minorHAnsi" w:cs="Calibri Light"/>
          <w:color w:val="00000A"/>
          <w:sz w:val="26"/>
          <w:szCs w:val="26"/>
        </w:rPr>
      </w:pPr>
    </w:p>
    <w:p w14:paraId="605059BA" w14:textId="21F8B905" w:rsidR="00245D3D" w:rsidRDefault="00245D3D">
      <w:pPr>
        <w:pStyle w:val="Pa0"/>
        <w:rPr>
          <w:rStyle w:val="A6"/>
          <w:rFonts w:asciiTheme="minorHAnsi" w:hAnsiTheme="minorHAnsi" w:cs="Calibri Light"/>
          <w:b/>
          <w:color w:val="00000A"/>
          <w:sz w:val="26"/>
          <w:szCs w:val="26"/>
        </w:rPr>
      </w:pPr>
      <w:r w:rsidRPr="000636B7">
        <w:rPr>
          <w:rStyle w:val="A6"/>
          <w:rFonts w:asciiTheme="minorHAnsi" w:hAnsiTheme="minorHAnsi" w:cs="Calibri Light"/>
          <w:b/>
          <w:color w:val="00000A"/>
          <w:sz w:val="26"/>
          <w:szCs w:val="26"/>
        </w:rPr>
        <w:t xml:space="preserve">RECORDING A DATA PROTECTION BREACH </w:t>
      </w:r>
    </w:p>
    <w:p w14:paraId="5DDEB4BB" w14:textId="77777777" w:rsidR="000636B7" w:rsidRPr="000636B7" w:rsidRDefault="000636B7">
      <w:pPr>
        <w:pStyle w:val="Pa0"/>
        <w:rPr>
          <w:rStyle w:val="A6"/>
          <w:rFonts w:asciiTheme="minorHAnsi" w:hAnsiTheme="minorHAnsi" w:cs="Calibri Light"/>
          <w:b/>
          <w:color w:val="00000A"/>
          <w:sz w:val="26"/>
          <w:szCs w:val="26"/>
        </w:rPr>
      </w:pPr>
    </w:p>
    <w:p w14:paraId="058F1BFA" w14:textId="1213D0BF" w:rsidR="00245D3D" w:rsidRPr="000636B7" w:rsidRDefault="00D70574">
      <w:pPr>
        <w:rPr>
          <w:rStyle w:val="A6"/>
          <w:rFonts w:asciiTheme="minorHAnsi" w:hAnsiTheme="minorHAnsi" w:cs="Calibri Light"/>
          <w:color w:val="00000A"/>
          <w:sz w:val="26"/>
          <w:szCs w:val="26"/>
        </w:rPr>
      </w:pPr>
      <w:r w:rsidRPr="000636B7">
        <w:rPr>
          <w:rStyle w:val="A6"/>
          <w:rFonts w:asciiTheme="minorHAnsi" w:hAnsiTheme="minorHAnsi" w:cs="Calibri Light"/>
          <w:color w:val="00000A"/>
          <w:sz w:val="26"/>
          <w:szCs w:val="26"/>
        </w:rPr>
        <w:t>There is</w:t>
      </w:r>
      <w:r w:rsidR="00245D3D" w:rsidRPr="000636B7">
        <w:rPr>
          <w:rStyle w:val="A6"/>
          <w:rFonts w:asciiTheme="minorHAnsi" w:hAnsiTheme="minorHAnsi" w:cs="Calibri Light"/>
          <w:color w:val="00000A"/>
          <w:sz w:val="26"/>
          <w:szCs w:val="26"/>
        </w:rPr>
        <w:t xml:space="preserve"> a central record of all data protection breaches that occur. </w:t>
      </w:r>
      <w:r w:rsidR="00395F80" w:rsidRPr="000636B7">
        <w:rPr>
          <w:rStyle w:val="A6"/>
          <w:rFonts w:asciiTheme="minorHAnsi" w:hAnsiTheme="minorHAnsi" w:cs="Calibri Light"/>
          <w:color w:val="00000A"/>
          <w:sz w:val="26"/>
          <w:szCs w:val="26"/>
        </w:rPr>
        <w:t>The Head of Administration</w:t>
      </w:r>
      <w:r w:rsidR="00245D3D" w:rsidRPr="000636B7">
        <w:rPr>
          <w:rStyle w:val="A6"/>
          <w:rFonts w:asciiTheme="minorHAnsi" w:hAnsiTheme="minorHAnsi" w:cs="Calibri Light"/>
          <w:color w:val="00000A"/>
          <w:sz w:val="26"/>
          <w:szCs w:val="26"/>
        </w:rPr>
        <w:t xml:space="preserve"> is responsible for maintaining a data protection breach register.</w:t>
      </w:r>
    </w:p>
    <w:p w14:paraId="5E30EC68" w14:textId="77777777" w:rsidR="00245D3D" w:rsidRPr="00395F80" w:rsidRDefault="00245D3D">
      <w:pPr>
        <w:rPr>
          <w:rStyle w:val="A6"/>
          <w:rFonts w:cs="Calibri Light"/>
          <w:color w:val="00000A"/>
        </w:rPr>
      </w:pPr>
    </w:p>
    <w:p w14:paraId="15EA4087" w14:textId="77777777" w:rsidR="00245D3D" w:rsidRPr="00395F80" w:rsidRDefault="00245D3D">
      <w:pPr>
        <w:rPr>
          <w:rStyle w:val="A6"/>
          <w:rFonts w:ascii="Calibri Light" w:hAnsi="Calibri Light" w:cs="Calibri Light"/>
          <w:color w:val="00000A"/>
        </w:rPr>
      </w:pPr>
    </w:p>
    <w:sectPr w:rsidR="00245D3D" w:rsidRPr="00395F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454"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D0A1" w14:textId="77777777" w:rsidR="002F22E4" w:rsidRDefault="002F22E4">
      <w:pPr>
        <w:spacing w:line="240" w:lineRule="auto"/>
      </w:pPr>
      <w:r>
        <w:separator/>
      </w:r>
    </w:p>
  </w:endnote>
  <w:endnote w:type="continuationSeparator" w:id="0">
    <w:p w14:paraId="73DF1607" w14:textId="77777777" w:rsidR="002F22E4" w:rsidRDefault="002F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ont379">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BA89" w14:textId="77777777" w:rsidR="00395F80" w:rsidRDefault="00395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E219" w14:textId="75D72603" w:rsidR="00245D3D" w:rsidRPr="00395F80" w:rsidRDefault="00245D3D" w:rsidP="00395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1A13" w14:textId="77777777" w:rsidR="00395F80" w:rsidRDefault="0039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32D22" w14:textId="77777777" w:rsidR="002F22E4" w:rsidRDefault="002F22E4">
      <w:pPr>
        <w:spacing w:line="240" w:lineRule="auto"/>
      </w:pPr>
      <w:r>
        <w:separator/>
      </w:r>
    </w:p>
  </w:footnote>
  <w:footnote w:type="continuationSeparator" w:id="0">
    <w:p w14:paraId="3564453E" w14:textId="77777777" w:rsidR="002F22E4" w:rsidRDefault="002F22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67A7" w14:textId="77777777" w:rsidR="00395F80" w:rsidRDefault="00395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D146" w14:textId="77777777" w:rsidR="00395F80" w:rsidRDefault="00395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CC8C" w14:textId="77777777" w:rsidR="00395F80" w:rsidRDefault="00395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27"/>
    <w:rsid w:val="0004377F"/>
    <w:rsid w:val="00055554"/>
    <w:rsid w:val="000636B7"/>
    <w:rsid w:val="00245D3D"/>
    <w:rsid w:val="002F22E4"/>
    <w:rsid w:val="002F6A18"/>
    <w:rsid w:val="003710D3"/>
    <w:rsid w:val="00395F80"/>
    <w:rsid w:val="00555A70"/>
    <w:rsid w:val="006F7513"/>
    <w:rsid w:val="007C6DA2"/>
    <w:rsid w:val="00D70574"/>
    <w:rsid w:val="00DB1EEF"/>
    <w:rsid w:val="00E37127"/>
    <w:rsid w:val="00EE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B5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Myriad Pro" w:eastAsia="Lucida Sans Unicode" w:hAnsi="Myriad Pro" w:cs="Myriad Pro"/>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Pr>
      <w:rFonts w:cs="Myriad Pro"/>
      <w:b/>
      <w:bCs/>
      <w:color w:val="000000"/>
      <w:sz w:val="48"/>
      <w:szCs w:val="48"/>
    </w:rPr>
  </w:style>
  <w:style w:type="character" w:customStyle="1" w:styleId="A6">
    <w:name w:val="A6"/>
    <w:rPr>
      <w:rFonts w:cs="Myriad Pro"/>
      <w:color w:val="000000"/>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0">
    <w:name w:val="Pa0"/>
    <w:basedOn w:val="Normal"/>
    <w:pPr>
      <w:spacing w:line="241" w:lineRule="atLeast"/>
    </w:pPr>
    <w:rPr>
      <w:rFonts w:cs="font379"/>
      <w:color w:val="00000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555A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55A70"/>
    <w:rPr>
      <w:rFonts w:ascii="Segoe UI" w:eastAsia="Lucida Sans Unicode" w:hAnsi="Segoe UI" w:cs="Segoe UI"/>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Myriad Pro" w:eastAsia="Lucida Sans Unicode" w:hAnsi="Myriad Pro" w:cs="Myriad Pro"/>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Pr>
      <w:rFonts w:cs="Myriad Pro"/>
      <w:b/>
      <w:bCs/>
      <w:color w:val="000000"/>
      <w:sz w:val="48"/>
      <w:szCs w:val="48"/>
    </w:rPr>
  </w:style>
  <w:style w:type="character" w:customStyle="1" w:styleId="A6">
    <w:name w:val="A6"/>
    <w:rPr>
      <w:rFonts w:cs="Myriad Pro"/>
      <w:color w:val="000000"/>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0">
    <w:name w:val="Pa0"/>
    <w:basedOn w:val="Normal"/>
    <w:pPr>
      <w:spacing w:line="241" w:lineRule="atLeast"/>
    </w:pPr>
    <w:rPr>
      <w:rFonts w:cs="font379"/>
      <w:color w:val="00000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555A7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55A70"/>
    <w:rPr>
      <w:rFonts w:ascii="Segoe UI" w:eastAsia="Lucida Sans Unicode"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Mylvaganam</dc:creator>
  <cp:lastModifiedBy>William Gibson</cp:lastModifiedBy>
  <cp:revision>2</cp:revision>
  <cp:lastPrinted>2018-05-22T16:42:00Z</cp:lastPrinted>
  <dcterms:created xsi:type="dcterms:W3CDTF">2018-05-22T16:43:00Z</dcterms:created>
  <dcterms:modified xsi:type="dcterms:W3CDTF">2018-05-22T16:43:00Z</dcterms:modified>
</cp:coreProperties>
</file>